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25C" w:rsidRPr="003C5141" w:rsidRDefault="00AB625C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AB625C" w:rsidRPr="003C5141" w:rsidRDefault="00AB625C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7F1AFB" w:rsidRDefault="004E6A19" w:rsidP="007F1AFB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8B7B76" w:rsidRPr="00744C34" w:rsidTr="00E3008C">
        <w:trPr>
          <w:trHeight w:val="227"/>
        </w:trPr>
        <w:tc>
          <w:tcPr>
            <w:tcW w:w="2563" w:type="pct"/>
          </w:tcPr>
          <w:p w:rsidR="008B7B76" w:rsidRPr="00744C34" w:rsidRDefault="008B7B76" w:rsidP="006A56D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</w:tcPr>
          <w:p w:rsidR="008B7B76" w:rsidRPr="00744C34" w:rsidRDefault="008B7B76" w:rsidP="006A56D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2131-п</w:t>
            </w:r>
          </w:p>
        </w:tc>
      </w:tr>
    </w:tbl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Pr="00BF64CF" w:rsidRDefault="006A56D9" w:rsidP="006A56D9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Times New Roman CYR"/>
          <w:bCs/>
          <w:color w:val="000000"/>
          <w:sz w:val="22"/>
          <w:lang w:eastAsia="ru-RU"/>
        </w:rPr>
      </w:pPr>
      <w:r w:rsidRPr="00BF64CF">
        <w:rPr>
          <w:sz w:val="22"/>
        </w:rPr>
        <w:t>(с изменениями от 2</w:t>
      </w:r>
      <w:r w:rsidR="00754EC4" w:rsidRPr="00BF64CF">
        <w:rPr>
          <w:sz w:val="22"/>
        </w:rPr>
        <w:t>3</w:t>
      </w:r>
      <w:r w:rsidRPr="00BF64CF">
        <w:rPr>
          <w:sz w:val="22"/>
        </w:rPr>
        <w:t>.0</w:t>
      </w:r>
      <w:r w:rsidR="00754EC4" w:rsidRPr="00BF64CF">
        <w:rPr>
          <w:sz w:val="22"/>
        </w:rPr>
        <w:t>6</w:t>
      </w:r>
      <w:r w:rsidRPr="00BF64CF">
        <w:rPr>
          <w:sz w:val="22"/>
        </w:rPr>
        <w:t>.20</w:t>
      </w:r>
      <w:r w:rsidR="00754EC4" w:rsidRPr="00BF64CF">
        <w:rPr>
          <w:sz w:val="22"/>
        </w:rPr>
        <w:t>25</w:t>
      </w:r>
      <w:r w:rsidRPr="00BF64CF">
        <w:rPr>
          <w:sz w:val="22"/>
        </w:rPr>
        <w:t xml:space="preserve"> № </w:t>
      </w:r>
      <w:r w:rsidR="00754EC4" w:rsidRPr="00BF64CF">
        <w:rPr>
          <w:sz w:val="22"/>
        </w:rPr>
        <w:t>1130-п</w:t>
      </w:r>
      <w:r w:rsidR="00A0776A" w:rsidRPr="00BF64CF">
        <w:rPr>
          <w:sz w:val="22"/>
        </w:rPr>
        <w:t>, от 19.11.2025 № 2280-13-п</w:t>
      </w:r>
      <w:r w:rsidR="00AB625C" w:rsidRPr="00BF64CF">
        <w:rPr>
          <w:sz w:val="22"/>
        </w:rPr>
        <w:t>, от 09.12.2025 № 2466-13-п</w:t>
      </w:r>
      <w:r w:rsidR="00A0776A" w:rsidRPr="00BF64CF">
        <w:rPr>
          <w:sz w:val="22"/>
        </w:rPr>
        <w:t>)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муниципальной программе 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города Югорска </w:t>
      </w:r>
      <w:r>
        <w:rPr>
          <w:rFonts w:ascii="PT Astra Serif" w:hAnsi="PT Astra Serif"/>
          <w:sz w:val="28"/>
          <w:szCs w:val="28"/>
          <w:lang w:eastAsia="ru-RU"/>
        </w:rPr>
        <w:t>«Развитие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гражданского общества»</w:t>
      </w:r>
      <w:bookmarkStart w:id="0" w:name="_GoBack"/>
      <w:bookmarkEnd w:id="0"/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общих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принципах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организации местного самоуправления в Российской Федерации», постановлением администрации города Югорска от 16.08.2024 № 1373-п          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совершенствования структуры муниципальных программ города Югорска:  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Утвердить муниципальную программу города Югорска «Развитие гражданского общества» (приложение).</w:t>
      </w:r>
    </w:p>
    <w:p w:rsidR="007F1AFB" w:rsidRDefault="007F1AFB" w:rsidP="007F1A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Признать утратившими силу постановления администрации города Югорска: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29.04.2019 № 880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от 10.10.2019 № 2178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18.12.2019 № 2725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24.12.2019 № 2775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09.04.2020 № 542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04.06.2020 № 729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28.09.2020 № 1392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1921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22.06.2021 № 1121-п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A07690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24.09.2021 № 1781-п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- от 15.11.2021 № 2167-п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20.12.2021 №  2435-п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03.03.2022 № 380-п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2378-п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2392-п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28.12.2022 № 2735-п 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30.01.2023 № 114-п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10.11.2023 № 1551-п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14.11.2023 № 1576-п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 от 26.12.2023 № 1875-п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06.03.2024 № 374-п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18.07.2024 № 1230-п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29.10.2024 № 1848-п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опубликования, но не ранее 01.01.2025.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Шибанова А.Н.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561CB" w:rsidRDefault="003561C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B76" w:rsidRPr="00744C34" w:rsidRDefault="008B7B76" w:rsidP="008B7B76">
      <w:pPr>
        <w:rPr>
          <w:rFonts w:ascii="PT Astra Serif" w:hAnsi="PT Astra Serif"/>
          <w:sz w:val="28"/>
          <w:szCs w:val="28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A8C1D" wp14:editId="60AE333D">
                <wp:simplePos x="0" y="0"/>
                <wp:positionH relativeFrom="column">
                  <wp:posOffset>2242820</wp:posOffset>
                </wp:positionH>
                <wp:positionV relativeFrom="paragraph">
                  <wp:posOffset>157480</wp:posOffset>
                </wp:positionV>
                <wp:extent cx="2628900" cy="1028700"/>
                <wp:effectExtent l="0" t="0" r="19050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76.6pt;margin-top:12.4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1"/>
        <w:gridCol w:w="4047"/>
        <w:gridCol w:w="1995"/>
      </w:tblGrid>
      <w:tr w:rsidR="008B7B76" w:rsidRPr="00D920B8" w:rsidTr="00E3008C">
        <w:trPr>
          <w:trHeight w:val="1443"/>
        </w:trPr>
        <w:tc>
          <w:tcPr>
            <w:tcW w:w="1902" w:type="pct"/>
          </w:tcPr>
          <w:p w:rsidR="008B7B76" w:rsidRPr="00D920B8" w:rsidRDefault="008B7B76" w:rsidP="00E3008C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2C5DE97B" wp14:editId="29D2E5F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8B7B76" w:rsidRPr="00D920B8" w:rsidRDefault="008B7B76" w:rsidP="00E3008C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F1AFB" w:rsidRDefault="007F1AFB" w:rsidP="007F1AFB">
      <w:pPr>
        <w:jc w:val="both"/>
        <w:rPr>
          <w:rFonts w:ascii="PT Astra Serif" w:hAnsi="PT Astra Serif"/>
          <w:b/>
          <w:sz w:val="28"/>
          <w:szCs w:val="28"/>
        </w:rPr>
      </w:pPr>
    </w:p>
    <w:p w:rsidR="007F1AFB" w:rsidRDefault="007F1AFB" w:rsidP="007F1AFB">
      <w:pPr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 </w:t>
      </w:r>
    </w:p>
    <w:p w:rsidR="007F1AFB" w:rsidRDefault="007F1AFB" w:rsidP="007F1AFB">
      <w:pPr>
        <w:suppressAutoHyphens w:val="0"/>
        <w:rPr>
          <w:rFonts w:ascii="PT Astra Serif" w:hAnsi="PT Astra Serif"/>
          <w:szCs w:val="24"/>
        </w:rPr>
        <w:sectPr w:rsidR="007F1AFB" w:rsidSect="006F1BC2">
          <w:headerReference w:type="default" r:id="rId10"/>
          <w:pgSz w:w="11906" w:h="16838"/>
          <w:pgMar w:top="993" w:right="849" w:bottom="851" w:left="1418" w:header="709" w:footer="709" w:gutter="0"/>
          <w:cols w:space="720"/>
          <w:titlePg/>
          <w:docGrid w:linePitch="326"/>
        </w:sectPr>
      </w:pPr>
    </w:p>
    <w:p w:rsidR="007F1AFB" w:rsidRPr="007F1AFB" w:rsidRDefault="007F1AFB" w:rsidP="007F1AF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7E6DC7" w:rsidRPr="00744C34" w:rsidRDefault="007E6DC7" w:rsidP="007E6DC7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Югорска </w:t>
      </w:r>
    </w:p>
    <w:p w:rsidR="007F1AFB" w:rsidRDefault="007F1AFB" w:rsidP="007F1AFB">
      <w:pPr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Паспорт муниципальной программы 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1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14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8650"/>
      </w:tblGrid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Куратор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Управление внутренней политики и массовых коммуникаций администрации города Югорска  (далее </w:t>
            </w: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-</w:t>
            </w:r>
            <w:proofErr w:type="spell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ВПиМК</w:t>
            </w:r>
            <w:proofErr w:type="spell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 )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2025 - 2030</w:t>
            </w:r>
          </w:p>
        </w:tc>
      </w:tr>
      <w:tr w:rsidR="007F1AFB" w:rsidRPr="003561CB" w:rsidTr="003561CB">
        <w:trPr>
          <w:trHeight w:val="56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Создание условий для развития гражданского общества и реализации гражданских инициатив.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F1AFB" w:rsidRPr="003561CB" w:rsidRDefault="007F1AFB" w:rsidP="003561CB">
            <w:pPr>
              <w:widowControl w:val="0"/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Arial" w:eastAsia="Times New Roman" w:hAnsi="Arial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4. Развитие взаимовыгодного сотрудничества на межрегиональном и международном уровнях.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«Развитие системы поддержки гражданских инициатив».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«Обеспечение открытости органов местного самоуправления и организация эффективной обратной связи с гражданами».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«Развитие межрегионального, международного сотрудничества».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6A" w:rsidRPr="00B05DF8" w:rsidRDefault="00B05DF8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i/>
                <w:color w:val="000000"/>
                <w:sz w:val="22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"/>
                <w:sz w:val="22"/>
                <w:lang w:eastAsia="ru-RU"/>
              </w:rPr>
              <w:t>843 446,3 тыс. рублей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Связь с национальными целями развития Российской </w:t>
            </w: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 xml:space="preserve">Федерации / государственными программами </w:t>
            </w:r>
            <w:r w:rsidRPr="003561CB">
              <w:rPr>
                <w:rFonts w:ascii="PT Astra Serif" w:hAnsi="PT Astra Serif" w:cs="Arial"/>
                <w:color w:val="000000"/>
                <w:sz w:val="22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 xml:space="preserve">Реализация потенциала каждого человека, развитие его талантов, воспитание 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>патриотичной и социально ответственной личности: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Показатель «Доля молодых людей, вовлеченных в добровольческую и общественную деятельность».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Государственная программа Ханты-Мансийского автономного округа-Югры «Развитие гражданского общества».</w:t>
            </w:r>
          </w:p>
        </w:tc>
      </w:tr>
    </w:tbl>
    <w:p w:rsidR="007F1AFB" w:rsidRPr="00A0776A" w:rsidRDefault="007F1AFB" w:rsidP="00A0776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2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  <w:bookmarkEnd w:id="2"/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51"/>
        <w:gridCol w:w="190"/>
        <w:gridCol w:w="955"/>
        <w:gridCol w:w="975"/>
        <w:gridCol w:w="715"/>
        <w:gridCol w:w="620"/>
        <w:gridCol w:w="666"/>
        <w:gridCol w:w="666"/>
        <w:gridCol w:w="666"/>
        <w:gridCol w:w="591"/>
        <w:gridCol w:w="75"/>
        <w:gridCol w:w="46"/>
        <w:gridCol w:w="629"/>
        <w:gridCol w:w="675"/>
        <w:gridCol w:w="1658"/>
        <w:gridCol w:w="1370"/>
        <w:gridCol w:w="1687"/>
      </w:tblGrid>
      <w:tr w:rsidR="00A0776A" w:rsidRPr="00A0776A" w:rsidTr="009679C0">
        <w:trPr>
          <w:tblHeader/>
        </w:trPr>
        <w:tc>
          <w:tcPr>
            <w:tcW w:w="168" w:type="pct"/>
            <w:vMerge w:val="restar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br/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/п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Базовое значение</w:t>
            </w:r>
          </w:p>
        </w:tc>
        <w:tc>
          <w:tcPr>
            <w:tcW w:w="1390" w:type="pct"/>
            <w:gridSpan w:val="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Ответственный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за достижение показателя</w:t>
            </w:r>
          </w:p>
        </w:tc>
        <w:tc>
          <w:tcPr>
            <w:tcW w:w="58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Связь с показателями национальных целей</w:t>
            </w:r>
          </w:p>
        </w:tc>
      </w:tr>
      <w:tr w:rsidR="00A0776A" w:rsidRPr="00A0776A" w:rsidTr="009679C0">
        <w:trPr>
          <w:tblHeader/>
        </w:trPr>
        <w:tc>
          <w:tcPr>
            <w:tcW w:w="16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9679C0">
        <w:trPr>
          <w:tblHeader/>
        </w:trPr>
        <w:tc>
          <w:tcPr>
            <w:tcW w:w="16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8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гражданских инициатив,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Управление культуры (далее – УК)</w:t>
            </w:r>
          </w:p>
        </w:tc>
        <w:tc>
          <w:tcPr>
            <w:tcW w:w="58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607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(или)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завершенных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Ханты-Мансийского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ДЖКиСК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8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в проектах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и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, направленных 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A0776A" w:rsidRPr="00A0776A" w:rsidTr="009679C0">
        <w:trPr>
          <w:trHeight w:val="3588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3.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 – 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546-п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(далее-Постановление </w:t>
            </w:r>
            <w:proofErr w:type="gramEnd"/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 546-п)</w:t>
            </w:r>
            <w:proofErr w:type="gramEnd"/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72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реализации регионального проекта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«Мы вместе» (Воспитание гармонично развитой личности) от 05.08.2025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2025-Ю20017-9 (далее – Соглашение «Мы вместе»), протокол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 20.02.2025 № 1 заседания Комитета по проектному управлению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3021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5.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 реализации регионального проекта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398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«Россия – страна возможностей»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7,80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7,90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8,05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8,15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семей, в том числе молодых семей имеющих детей,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мероприятиях по продвижению 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 xml:space="preserve">традиционных духовно-нравственных ценностей, в том числе в проекты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программы,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Удовлетворенность граждан информационной открытостью органов местного самоуправления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граждан,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государственное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муниципальное управление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Тыс. человек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6 400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9 200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A0776A" w:rsidRPr="00A0776A" w:rsidTr="009679C0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договоров, контрактов, соглашений, меморандумов, протоколов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9" w:type="pct"/>
            <w:gridSpan w:val="3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A0776A" w:rsidRPr="00A0776A" w:rsidRDefault="00A0776A" w:rsidP="00A0776A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B05DF8" w:rsidRDefault="00B05DF8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2.1. Прокси-показатели муниципальной программы в 2025 году</w:t>
      </w:r>
    </w:p>
    <w:p w:rsidR="00B05DF8" w:rsidRDefault="00B05DF8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103"/>
        <w:gridCol w:w="1230"/>
        <w:gridCol w:w="1143"/>
        <w:gridCol w:w="1276"/>
        <w:gridCol w:w="1674"/>
        <w:gridCol w:w="1540"/>
        <w:gridCol w:w="1540"/>
        <w:gridCol w:w="1546"/>
        <w:gridCol w:w="1708"/>
      </w:tblGrid>
      <w:tr w:rsidR="00B05DF8" w:rsidRPr="00B05DF8" w:rsidTr="00F826A2">
        <w:trPr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№</w:t>
            </w: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Наименование прокси-показателя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1" w:history="1">
              <w:r w:rsidRPr="00B05DF8">
                <w:rPr>
                  <w:rFonts w:ascii="PT Astra Serif" w:eastAsia="Times New Roman" w:hAnsi="PT Astra Serif" w:cs="Times New Roman"/>
                  <w:color w:val="000000"/>
                  <w:sz w:val="16"/>
                  <w:szCs w:val="16"/>
                  <w:u w:val="single"/>
                  <w:lang w:eastAsia="ru-RU"/>
                </w:rPr>
                <w:t>ОКЕИ</w:t>
              </w:r>
            </w:hyperlink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</w:tr>
      <w:tr w:rsidR="00B05DF8" w:rsidRPr="00B05DF8" w:rsidTr="00F826A2">
        <w:trPr>
          <w:tblHeader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 квартал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B05DF8" w:rsidRPr="00B05DF8" w:rsidTr="00F826A2">
        <w:trPr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УК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2.1.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2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left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68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70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2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70,5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39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70,5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3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71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УСП 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2.2.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молодых людей, вовлеченных </w:t>
            </w:r>
            <w:proofErr w:type="gramStart"/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в</w:t>
            </w:r>
            <w:proofErr w:type="gramEnd"/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</w:t>
            </w:r>
          </w:p>
          <w:p w:rsidR="00B05DF8" w:rsidRPr="00B05DF8" w:rsidRDefault="00B05DF8" w:rsidP="00B05DF8">
            <w:pPr>
              <w:spacing w:after="20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реализуемые </w:t>
            </w:r>
          </w:p>
          <w:p w:rsidR="00B05DF8" w:rsidRPr="00B05DF8" w:rsidRDefault="00B05DF8" w:rsidP="00B05DF8">
            <w:pPr>
              <w:ind w:right="42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проекты и программы в сфере поддержки талантливой молодежи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left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Человек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5 500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2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39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5 285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3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5 300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УСП 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Arial"/>
                <w:sz w:val="16"/>
                <w:szCs w:val="16"/>
                <w:lang w:eastAsia="ar-SA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3.1.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</w:t>
            </w:r>
          </w:p>
          <w:p w:rsidR="00B05DF8" w:rsidRPr="00B05DF8" w:rsidRDefault="00B05DF8" w:rsidP="00B05DF8">
            <w:pPr>
              <w:spacing w:after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молодежи в возрасте 14 - 35 лет, задействованной в мероприятиях общественных объединений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left="1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Человек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2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39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3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2 270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ind w:right="46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УСП 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Arial"/>
                <w:sz w:val="16"/>
                <w:szCs w:val="16"/>
                <w:lang w:eastAsia="ar-SA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B05DF8" w:rsidRPr="00B05DF8" w:rsidTr="00F826A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Количество граждан, принявших участие в опросах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Тыс. человек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1600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proofErr w:type="spellStart"/>
            <w:r w:rsidRPr="00B05DF8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</w:tr>
    </w:tbl>
    <w:p w:rsidR="00B05DF8" w:rsidRDefault="00B05DF8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05DF8" w:rsidRDefault="00B05DF8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05DF8" w:rsidRDefault="00B05DF8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05DF8" w:rsidRDefault="00B05DF8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05DF8" w:rsidRDefault="00B05DF8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lastRenderedPageBreak/>
        <w:t>3.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2025 году</w:t>
      </w: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87"/>
        <w:gridCol w:w="2860"/>
        <w:gridCol w:w="1172"/>
        <w:gridCol w:w="1137"/>
        <w:gridCol w:w="734"/>
        <w:gridCol w:w="664"/>
        <w:gridCol w:w="667"/>
        <w:gridCol w:w="696"/>
        <w:gridCol w:w="725"/>
        <w:gridCol w:w="673"/>
        <w:gridCol w:w="667"/>
        <w:gridCol w:w="667"/>
        <w:gridCol w:w="667"/>
        <w:gridCol w:w="667"/>
        <w:gridCol w:w="731"/>
        <w:gridCol w:w="1088"/>
      </w:tblGrid>
      <w:tr w:rsidR="00B05DF8" w:rsidRPr="00B05DF8" w:rsidTr="00F826A2">
        <w:trPr>
          <w:trHeight w:val="458"/>
          <w:tblHeader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2" w:history="1">
              <w:r w:rsidRPr="00B05DF8">
                <w:rPr>
                  <w:rFonts w:ascii="PT Astra Serif" w:eastAsia="Times New Roman" w:hAnsi="PT Astra Serif" w:cs="Times New Roman"/>
                  <w:bCs/>
                  <w:color w:val="000000"/>
                  <w:sz w:val="16"/>
                  <w:szCs w:val="16"/>
                  <w:u w:val="single"/>
                  <w:lang w:eastAsia="ru-RU"/>
                </w:rPr>
                <w:t>ОКЕИ</w:t>
              </w:r>
            </w:hyperlink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На конец</w:t>
            </w:r>
            <w:proofErr w:type="gramEnd"/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 xml:space="preserve"> 2026 года</w:t>
            </w:r>
          </w:p>
        </w:tc>
      </w:tr>
      <w:tr w:rsidR="00B05DF8" w:rsidRPr="00B05DF8" w:rsidTr="00F826A2">
        <w:trPr>
          <w:tblHeader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F8" w:rsidRPr="00B05DF8" w:rsidRDefault="00B05DF8" w:rsidP="00B05DF8">
            <w:pPr>
              <w:suppressAutoHyphens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05DF8" w:rsidRPr="00B05DF8" w:rsidTr="00F826A2">
        <w:trPr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МП города Югорска</w:t>
            </w:r>
          </w:p>
          <w:p w:rsidR="00B05DF8" w:rsidRPr="00B05DF8" w:rsidRDefault="00B05DF8" w:rsidP="00B05DF8">
            <w:pPr>
              <w:suppressAutoHyphens w:val="0"/>
              <w:spacing w:line="276" w:lineRule="auto"/>
              <w:ind w:firstLine="567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B05DF8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ru-RU"/>
              </w:rPr>
              <w:t>Цель 2</w:t>
            </w:r>
            <w:r w:rsidRPr="00B05DF8">
              <w:rPr>
                <w:rFonts w:ascii="PT Astra Serif" w:eastAsia="Times New Roman" w:hAnsi="PT Astra Serif" w:cs="Times New Roman CYR"/>
                <w:b/>
                <w:bCs/>
                <w:sz w:val="16"/>
                <w:szCs w:val="16"/>
                <w:lang w:eastAsia="ru-RU"/>
              </w:rPr>
              <w:t xml:space="preserve"> «</w:t>
            </w: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73,89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74,0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70,06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70,96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2.3.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B05DF8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>профессиональное</w:t>
            </w:r>
            <w:proofErr w:type="gramEnd"/>
            <w:r w:rsidRPr="00B05DF8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 xml:space="preserve"> развития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33,28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34,00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34,40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35,02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36,00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36,62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37,02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38,02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38,82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39,62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40,62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41,62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2.4.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Calibri" w:hAnsi="PT Astra Serif" w:cs="Times New Roman CYR"/>
                <w:color w:val="000000"/>
                <w:sz w:val="16"/>
                <w:szCs w:val="16"/>
                <w:lang w:eastAsia="ar-SA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7,19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8,19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9,15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9,30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9,45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10,15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11,05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11,45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12,15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13,00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13,45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14,15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2.5.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7,79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7,80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2.6.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Calibri" w:hAnsi="PT Astra Serif" w:cs="Times New Roman CYR"/>
                <w:sz w:val="16"/>
                <w:szCs w:val="16"/>
                <w:lang w:eastAsia="ar-SA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</w:t>
            </w:r>
            <w:r w:rsidRPr="00B05DF8">
              <w:rPr>
                <w:rFonts w:ascii="PT Astra Serif" w:eastAsia="Calibri" w:hAnsi="PT Astra Serif" w:cs="Times New Roman CYR"/>
                <w:sz w:val="16"/>
                <w:szCs w:val="16"/>
                <w:lang w:eastAsia="ar-SA"/>
              </w:rPr>
              <w:lastRenderedPageBreak/>
              <w:t>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sz w:val="16"/>
                <w:szCs w:val="16"/>
                <w:lang w:eastAsia="ar-SA"/>
              </w:rPr>
              <w:lastRenderedPageBreak/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ar-SA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15.24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  <w:t>15,25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ar-SA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sz w:val="16"/>
                <w:szCs w:val="16"/>
                <w:lang w:eastAsia="ar-SA"/>
              </w:rPr>
              <w:t>15,27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B05DF8" w:rsidRPr="00B05DF8" w:rsidTr="00F826A2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DF8" w:rsidRPr="00B05DF8" w:rsidRDefault="00B05DF8" w:rsidP="00B05DF8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B05DF8">
              <w:rPr>
                <w:rFonts w:ascii="PT Astra Serif" w:eastAsia="Times New Roman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7000</w:t>
            </w:r>
          </w:p>
        </w:tc>
      </w:tr>
    </w:tbl>
    <w:p w:rsidR="00A0776A" w:rsidRPr="00B05DF8" w:rsidRDefault="00A0776A" w:rsidP="00B05DF8">
      <w:pPr>
        <w:widowControl w:val="0"/>
        <w:tabs>
          <w:tab w:val="left" w:pos="1120"/>
        </w:tabs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sectPr w:rsidR="00A0776A" w:rsidRPr="00B05DF8" w:rsidSect="009679C0">
          <w:pgSz w:w="16838" w:h="11906" w:orient="landscape"/>
          <w:pgMar w:top="1134" w:right="851" w:bottom="1134" w:left="1701" w:header="567" w:footer="709" w:gutter="0"/>
          <w:cols w:space="708"/>
          <w:docGrid w:linePitch="360"/>
        </w:sectPr>
      </w:pPr>
    </w:p>
    <w:p w:rsidR="007F1AFB" w:rsidRDefault="007F1AFB" w:rsidP="00B05DF8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9"/>
        <w:gridCol w:w="6376"/>
        <w:gridCol w:w="4338"/>
      </w:tblGrid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№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br/>
            </w: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Связь с показателями</w:t>
            </w:r>
          </w:p>
        </w:tc>
      </w:tr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Развитие системы поддержки гражданских инициатив»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Региональный проект «Развитие экосистемы поддержки гражданских инициатив» (куратор – Шибанов Алексей Николаевич)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 </w:t>
            </w: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Соисполнители: </w:t>
            </w: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ДЖКиСК</w:t>
            </w:r>
            <w:proofErr w:type="spellEnd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 </w:t>
            </w: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Соисполнители:</w:t>
            </w:r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Управление культуры администрации города Югорска.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Управление бухгалтерского учета и отчетности администрации города Югорска (далее </w:t>
            </w:r>
            <w:r w:rsidR="00B05DF8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–</w:t>
            </w: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  <w:proofErr w:type="spellEnd"/>
            <w:r w:rsidR="00B05DF8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), </w:t>
            </w:r>
            <w:proofErr w:type="spellStart"/>
            <w:r w:rsidR="00B05DF8" w:rsidRPr="00B05DF8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ДЖКиСК</w:t>
            </w:r>
            <w:proofErr w:type="spellEnd"/>
            <w:r w:rsidR="00B05DF8" w:rsidRPr="00B05DF8">
              <w:rPr>
                <w:rFonts w:ascii="PT Astra Serif" w:eastAsia="Times New Roman" w:hAnsi="PT Astra Serif" w:cs="Times New Roman"/>
                <w:sz w:val="22"/>
                <w:lang w:eastAsia="ru-RU"/>
              </w:rPr>
              <w:t>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Обеспечение доступности мер финансовой и консультационной поддержки социально ориентированным 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lastRenderedPageBreak/>
              <w:t>некоммерческим организациям и инициативным гражданам для реализации социальных и инициативных 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социальных проектов, реализации инициативных проектов.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гражданских инициатив, получивших поддержку из бюджета города Югорска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Комплекс процессных мероприятий  «Обеспечение 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информационной открытости органов местного самоуправления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 и организация взаимодействия органов власти с гражданами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Соисполнитель: 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  <w:proofErr w:type="spell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эффективного информационного взаимодействия власти и общества, ф</w:t>
            </w: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Формирование механизмов обратной связи в системе государственного и муниципального управления</w:t>
            </w:r>
            <w:r w:rsidRPr="00C31F6A">
              <w:rPr>
                <w:rFonts w:ascii="Arial" w:eastAsia="Times New Roman" w:hAnsi="Arial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</w:t>
            </w: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социально значимым тематикам, в рейтинговых голосованиях, в публичных слушаниях и</w:t>
            </w:r>
            <w:proofErr w:type="gramEnd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 обсуждениях, в том числе через обращения и сообщения на цифровой платформе обратной связи (</w:t>
            </w:r>
            <w:proofErr w:type="gram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ПОС</w:t>
            </w:r>
            <w:proofErr w:type="gramEnd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граждан, вовлеченных в государственное и муниципальное управление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val="en-US"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val="en-US" w:eastAsia="ru-RU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9679C0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>Носкова</w:t>
            </w:r>
            <w:proofErr w:type="spellEnd"/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 Людмила Ивановна)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9679C0">
              <w:rPr>
                <w:rFonts w:ascii="PT Astra Serif" w:hAnsi="PT Astra Serif"/>
                <w:sz w:val="22"/>
              </w:rPr>
              <w:t>Ответственный</w:t>
            </w:r>
            <w:proofErr w:type="gramEnd"/>
            <w:r w:rsidRPr="009679C0">
              <w:rPr>
                <w:rFonts w:ascii="PT Astra Serif" w:hAnsi="PT Astra Serif"/>
                <w:sz w:val="22"/>
              </w:rPr>
              <w:t xml:space="preserve"> за реализацию: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УСП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Соисполнитель: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Управление образования администрации города Югорска (далее – УО)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9679C0">
              <w:rPr>
                <w:rFonts w:ascii="PT Astra Serif" w:hAnsi="PT Astra Serif"/>
                <w:sz w:val="22"/>
              </w:rPr>
              <w:t>Управление культуры администрации города Югорска далее – УК)</w:t>
            </w:r>
            <w:proofErr w:type="gram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Срок реализации: 2025 - 2030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Создание условий для </w:t>
            </w: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воспитания гармонично-развитой, патриотической и социально ответственной личности на основе традиционных российских духовно-нравственных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культурно-исторических ценностей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Реализация проектов, программ мероприятий, направленных на </w:t>
            </w: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продвижение традиционных духовно-нравственных ценностей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патриотическое воспитание граждан,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молодежи «Движение первых»;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9679C0">
              <w:rPr>
                <w:rFonts w:ascii="PT Astra Serif" w:eastAsia="Arial" w:hAnsi="PT Astra Serif"/>
                <w:sz w:val="22"/>
              </w:rPr>
              <w:t>развитие</w:t>
            </w:r>
            <w:proofErr w:type="gramEnd"/>
            <w:r w:rsidRPr="009679C0">
              <w:rPr>
                <w:rFonts w:ascii="PT Astra Serif" w:eastAsia="Arial" w:hAnsi="PT Astra Serif"/>
                <w:sz w:val="22"/>
              </w:rPr>
              <w:t xml:space="preserve"> на основе традиционной для России системы ценностей;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проектах и программах, направленных на патриотическое воспитание до 7 070 человек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22"/>
              </w:rPr>
            </w:pP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>4.1.2.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Реализация мероприятий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на поддержку и развитие добровольчества (</w:t>
            </w:r>
            <w:proofErr w:type="spellStart"/>
            <w:r w:rsidRPr="009679C0">
              <w:rPr>
                <w:rFonts w:ascii="PT Astra Serif" w:hAnsi="PT Astra Serif"/>
                <w:sz w:val="22"/>
              </w:rPr>
              <w:t>волонтерства</w:t>
            </w:r>
            <w:proofErr w:type="spellEnd"/>
            <w:r w:rsidRPr="009679C0">
              <w:rPr>
                <w:rFonts w:ascii="PT Astra Serif" w:hAnsi="PT Astra Serif"/>
                <w:sz w:val="22"/>
              </w:rPr>
              <w:t xml:space="preserve">), </w:t>
            </w:r>
            <w:r w:rsidRPr="009679C0">
              <w:rPr>
                <w:rFonts w:ascii="PT Astra Serif" w:eastAsia="Arial" w:hAnsi="PT Astra Serif"/>
                <w:sz w:val="22"/>
              </w:rPr>
              <w:t xml:space="preserve">патриотического воспитания, поддержку инициативы, </w:t>
            </w:r>
            <w:r w:rsidRPr="009679C0">
              <w:rPr>
                <w:rFonts w:ascii="PT Astra Serif" w:hAnsi="PT Astra Serif"/>
                <w:sz w:val="22"/>
              </w:rPr>
              <w:t xml:space="preserve">в том числе обеспечивающие обучение граждан,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в добровольческой (волонтерской) деятельности, </w:t>
            </w:r>
            <w:r w:rsidRPr="009679C0">
              <w:rPr>
                <w:rFonts w:ascii="PT Astra Serif" w:eastAsia="Arial" w:hAnsi="PT Astra Serif"/>
                <w:sz w:val="22"/>
              </w:rPr>
              <w:t xml:space="preserve">повышение навыков и компетенций среди молодежи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и общественных молодежных организаций, с учетом национальных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и местных социально – экономических, культурных особенностей;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доли молодых людей, вовлеченных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(волонтерскую)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26%;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молодых людей, участвующих 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9679C0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9679C0">
              <w:rPr>
                <w:rFonts w:ascii="PT Astra Serif" w:hAnsi="PT Astra Serif"/>
                <w:sz w:val="22"/>
              </w:rPr>
              <w:t>, направленных на патриотическое воспитание до 7 070 человек.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молодых семей, в том числе молодых семей имеющих детей,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мероприятиях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Доля молодых людей, вовлеченных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добровольческую и общественную деятельность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Доля молодых семей, в том числе молодых </w:t>
            </w:r>
            <w:r w:rsidRPr="009679C0">
              <w:rPr>
                <w:rFonts w:ascii="PT Astra Serif" w:eastAsia="Arial" w:hAnsi="PT Astra Serif"/>
                <w:sz w:val="22"/>
              </w:rPr>
              <w:lastRenderedPageBreak/>
              <w:t xml:space="preserve">семей, имеющих детей,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в мероприятиях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по продвижению традиционных духовно-нравственных ценностей, в том числе 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и </w:t>
            </w:r>
            <w:proofErr w:type="gramStart"/>
            <w:r w:rsidRPr="009679C0">
              <w:rPr>
                <w:rFonts w:ascii="PT Astra Serif" w:eastAsia="Arial" w:hAnsi="PT Astra Serif"/>
                <w:sz w:val="22"/>
              </w:rPr>
              <w:t>программах</w:t>
            </w:r>
            <w:proofErr w:type="gramEnd"/>
            <w:r w:rsidRPr="009679C0">
              <w:rPr>
                <w:rFonts w:ascii="PT Astra Serif" w:eastAsia="Arial" w:hAnsi="PT Astra Serif"/>
                <w:sz w:val="22"/>
              </w:rPr>
              <w:t xml:space="preserve">,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на патриотическое воспитание, вовлечение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в добровольческую и общественную деятельность.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9679C0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9679C0">
              <w:rPr>
                <w:rFonts w:ascii="PT Astra Serif" w:eastAsia="Calibri" w:hAnsi="PT Astra Serif"/>
                <w:sz w:val="22"/>
              </w:rPr>
              <w:t xml:space="preserve">,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>на патриотическое воспитание</w:t>
            </w:r>
          </w:p>
          <w:p w:rsidR="009679C0" w:rsidRPr="00D75DBF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79C0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D30C4E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D30C4E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>Носкова</w:t>
            </w:r>
            <w:proofErr w:type="spellEnd"/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 Людмила Ивановна)</w:t>
            </w:r>
          </w:p>
        </w:tc>
      </w:tr>
      <w:tr w:rsidR="00D30C4E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Ответственный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за реализацию: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УСП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Соисполнитель: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УО, УК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D30C4E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Срок реализации: 2025 - 2030</w:t>
            </w:r>
          </w:p>
        </w:tc>
      </w:tr>
      <w:tr w:rsidR="00D30C4E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Мероприятиями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по профессиональной самореализации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к 2030 году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охвачены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 не менее 75% молодежи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Реализация образовательных программ для молодых людей, руководителей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специалистов по работе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с молодежью, представителей молодежных объединений, проектов, направленных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развитие творческого потенциала молодых людей, обеспечение участия молодых людей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международных, всероссийских, межрегиональных мероприятиях;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Организация деятельности молодежных трудовых отрядов;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присуждение премии главы города в целях поощрения и поддержки талантливой молодежи;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в возрасте от 14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 35 лет включительно, принявших участие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и программах, направленных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профессиональное, личностное развитие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7 070 человек;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от 14 до 35 лет включительно, принявших участие в проектах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, реализованных объектами инфраструктуры молодежной политики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3 959 человек.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, направленных на профессиональное, личностное развитие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 вовлеченных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Охват молодежи мероприятиями, проводимыми </w:t>
            </w:r>
          </w:p>
          <w:p w:rsidR="00D30C4E" w:rsidRPr="00D75DBF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</w:tc>
      </w:tr>
      <w:tr w:rsidR="00352E92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Times New Roman" w:hAnsi="PT Astra Serif" w:cs="Times New Roman"/>
                <w:sz w:val="22"/>
                <w:lang w:eastAsia="ar-SA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352E92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352E92">
              <w:rPr>
                <w:rFonts w:ascii="PT Astra Serif" w:hAnsi="PT Astra Serif"/>
                <w:sz w:val="22"/>
              </w:rPr>
              <w:t>Ответственный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за реализацию: УСП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Соисполнитель: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Срок реализации: 2025 - 2030</w:t>
            </w:r>
          </w:p>
        </w:tc>
      </w:tr>
      <w:tr w:rsidR="00352E92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4.3.1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выполнения полномочий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функций  муниципального автономного учреждения «Молодежный центр «Гелиос», подведомственного УСП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Создание условий для осуществления деятельности муниципальных учреждений молодежной политики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функционирования объектов молодежной политики, находящихся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собственности муниципального образования.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Увеличение общего количества граждан, вовлеченных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добровольческую (волонтерскую) деятельность путем реализации мероприятий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сфере добровольчества (</w:t>
            </w:r>
            <w:proofErr w:type="spellStart"/>
            <w:r w:rsidRPr="00352E92">
              <w:rPr>
                <w:rFonts w:ascii="PT Astra Serif" w:eastAsia="Calibri" w:hAnsi="PT Astra Serif"/>
                <w:sz w:val="22"/>
              </w:rPr>
              <w:t>волонтерства</w:t>
            </w:r>
            <w:proofErr w:type="spellEnd"/>
            <w:r w:rsidRPr="00352E92">
              <w:rPr>
                <w:rFonts w:ascii="PT Astra Serif" w:eastAsia="Calibri" w:hAnsi="PT Astra Serif"/>
                <w:sz w:val="22"/>
              </w:rPr>
              <w:t>)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Вовлечение детей, подростков и молодежи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мероприятия, направленные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на формирования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развитие творческих способностей, личностных самореализаций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профессионального роста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проведения мероприятий патриотической направленности различного уровня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с участием детей, подростков и молодежи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eastAsia="Calibri" w:hAnsi="PT Astra Serif"/>
                <w:sz w:val="22"/>
              </w:rPr>
              <w:t xml:space="preserve">, направленных на профессиональное, личностное развитие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</w:tc>
      </w:tr>
    </w:tbl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D76DD6" w:rsidRDefault="00D76DD6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5.Финансовое обеспечение муниципальной программы</w:t>
      </w: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992"/>
        <w:gridCol w:w="1434"/>
        <w:gridCol w:w="1396"/>
        <w:gridCol w:w="1260"/>
        <w:gridCol w:w="1260"/>
        <w:gridCol w:w="1260"/>
        <w:gridCol w:w="1260"/>
        <w:gridCol w:w="1266"/>
      </w:tblGrid>
      <w:tr w:rsidR="00D76DD6" w:rsidRPr="00D76DD6" w:rsidTr="00F826A2">
        <w:trPr>
          <w:trHeight w:val="615"/>
          <w:tblHeader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88" w:type="pct"/>
            <w:vMerge w:val="restar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89" w:type="pct"/>
            <w:gridSpan w:val="7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D76DD6" w:rsidRPr="00D76DD6" w:rsidTr="00F826A2">
        <w:trPr>
          <w:trHeight w:val="435"/>
          <w:tblHeader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88" w:type="pct"/>
            <w:vMerge/>
            <w:vAlign w:val="center"/>
            <w:hideMark/>
          </w:tcPr>
          <w:p w:rsidR="00D76DD6" w:rsidRPr="00D76DD6" w:rsidRDefault="00D76DD6" w:rsidP="00D76DD6">
            <w:pPr>
              <w:suppressAutoHyphens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D76DD6" w:rsidRPr="00D76DD6" w:rsidTr="00F826A2">
        <w:trPr>
          <w:trHeight w:val="330"/>
          <w:tblHeader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76DD6" w:rsidRPr="00D76DD6" w:rsidTr="00F826A2">
        <w:trPr>
          <w:trHeight w:val="375"/>
        </w:trPr>
        <w:tc>
          <w:tcPr>
            <w:tcW w:w="1911" w:type="pct"/>
            <w:gridSpan w:val="2"/>
            <w:vAlign w:val="center"/>
            <w:hideMark/>
          </w:tcPr>
          <w:p w:rsidR="00D76DD6" w:rsidRPr="00D76DD6" w:rsidRDefault="00D76DD6" w:rsidP="00D76DD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Муниципальная программа города Югорска «Развитие гражданского общества»</w:t>
            </w:r>
          </w:p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158 303,0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145 923,7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134 157,4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134 217,4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135 427,4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135 417,4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843 446,3</w:t>
            </w:r>
          </w:p>
        </w:tc>
      </w:tr>
      <w:tr w:rsidR="00D76DD6" w:rsidRPr="00D76DD6" w:rsidTr="00F826A2">
        <w:trPr>
          <w:trHeight w:val="360"/>
        </w:trPr>
        <w:tc>
          <w:tcPr>
            <w:tcW w:w="1911" w:type="pct"/>
            <w:gridSpan w:val="2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90"/>
        </w:trPr>
        <w:tc>
          <w:tcPr>
            <w:tcW w:w="1911" w:type="pct"/>
            <w:gridSpan w:val="2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17 069,1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7 633,4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53 616,1</w:t>
            </w:r>
          </w:p>
        </w:tc>
      </w:tr>
      <w:tr w:rsidR="00D76DD6" w:rsidRPr="00D76DD6" w:rsidTr="00F826A2">
        <w:trPr>
          <w:trHeight w:val="330"/>
        </w:trPr>
        <w:tc>
          <w:tcPr>
            <w:tcW w:w="1911" w:type="pct"/>
            <w:gridSpan w:val="2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115 166,8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110 190,3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100 084,0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100 074,0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623 263,1</w:t>
            </w:r>
          </w:p>
        </w:tc>
      </w:tr>
      <w:tr w:rsidR="00D76DD6" w:rsidRPr="00D76DD6" w:rsidTr="00F826A2">
        <w:trPr>
          <w:trHeight w:val="360"/>
        </w:trPr>
        <w:tc>
          <w:tcPr>
            <w:tcW w:w="1911" w:type="pct"/>
            <w:gridSpan w:val="2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26 067,1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166 567,1</w:t>
            </w:r>
          </w:p>
        </w:tc>
      </w:tr>
      <w:tr w:rsidR="00D76DD6" w:rsidRPr="00D76DD6" w:rsidTr="00F826A2">
        <w:trPr>
          <w:trHeight w:val="278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88" w:type="pct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Региональный проект «Россия - страна возможностей»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714,3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714,3</w:t>
            </w:r>
          </w:p>
        </w:tc>
      </w:tr>
      <w:tr w:rsidR="00D76DD6" w:rsidRPr="00D76DD6" w:rsidTr="00F826A2">
        <w:trPr>
          <w:trHeight w:val="46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9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D76DD6" w:rsidRPr="00D76DD6" w:rsidTr="00F826A2">
        <w:trPr>
          <w:trHeight w:val="40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214,3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214,3</w:t>
            </w:r>
          </w:p>
        </w:tc>
      </w:tr>
      <w:tr w:rsidR="00D76DD6" w:rsidRPr="00D76DD6" w:rsidTr="00F826A2">
        <w:trPr>
          <w:trHeight w:val="43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703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88" w:type="pct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6 306,1</w:t>
            </w:r>
          </w:p>
        </w:tc>
      </w:tr>
      <w:tr w:rsidR="00D76DD6" w:rsidRPr="00D76DD6" w:rsidTr="00F826A2">
        <w:trPr>
          <w:trHeight w:val="34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6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7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6 306,1</w:t>
            </w:r>
          </w:p>
        </w:tc>
      </w:tr>
      <w:tr w:rsidR="00D76DD6" w:rsidRPr="00D76DD6" w:rsidTr="00F826A2">
        <w:trPr>
          <w:trHeight w:val="39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97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688" w:type="pct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28 751,6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38 902,0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188 053,6</w:t>
            </w:r>
          </w:p>
        </w:tc>
      </w:tr>
      <w:tr w:rsidR="00D76DD6" w:rsidRPr="00D76DD6" w:rsidTr="00F826A2">
        <w:trPr>
          <w:trHeight w:val="34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6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349,5</w:t>
            </w:r>
          </w:p>
        </w:tc>
      </w:tr>
      <w:tr w:rsidR="00D76DD6" w:rsidRPr="00D76DD6" w:rsidTr="00F826A2">
        <w:trPr>
          <w:trHeight w:val="37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27 335,0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37 802,0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181 137,0</w:t>
            </w:r>
          </w:p>
        </w:tc>
      </w:tr>
      <w:tr w:rsidR="00D76DD6" w:rsidRPr="00D76DD6" w:rsidTr="00F826A2">
        <w:trPr>
          <w:trHeight w:val="39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6 567,1</w:t>
            </w:r>
          </w:p>
        </w:tc>
      </w:tr>
      <w:tr w:rsidR="00D76DD6" w:rsidRPr="00D76DD6" w:rsidTr="00F826A2">
        <w:trPr>
          <w:trHeight w:val="896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88" w:type="pct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D76DD6" w:rsidRPr="00D76DD6" w:rsidTr="00F826A2">
        <w:trPr>
          <w:trHeight w:val="34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6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7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D76DD6" w:rsidRPr="00D76DD6" w:rsidTr="00F826A2">
        <w:trPr>
          <w:trHeight w:val="39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889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88" w:type="pct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95 018,6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104 007,4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103 757,4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614 235,6</w:t>
            </w:r>
          </w:p>
        </w:tc>
      </w:tr>
      <w:tr w:rsidR="00D76DD6" w:rsidRPr="00D76DD6" w:rsidTr="00F826A2">
        <w:trPr>
          <w:trHeight w:val="46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9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6 719,6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7 133,4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42 766,6</w:t>
            </w:r>
          </w:p>
        </w:tc>
      </w:tr>
      <w:tr w:rsidR="00D76DD6" w:rsidRPr="00D76DD6" w:rsidTr="00F826A2">
        <w:trPr>
          <w:trHeight w:val="40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63 299,0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69 874,0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411 469,0</w:t>
            </w:r>
          </w:p>
        </w:tc>
      </w:tr>
      <w:tr w:rsidR="00D76DD6" w:rsidRPr="00D76DD6" w:rsidTr="00F826A2">
        <w:trPr>
          <w:trHeight w:val="43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25 000,0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160 000,0</w:t>
            </w:r>
          </w:p>
        </w:tc>
      </w:tr>
      <w:tr w:rsidR="00D76DD6" w:rsidRPr="00D76DD6" w:rsidTr="00F826A2">
        <w:trPr>
          <w:trHeight w:val="418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688" w:type="pct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34 126,7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34 126,7</w:t>
            </w:r>
          </w:p>
        </w:tc>
      </w:tr>
      <w:tr w:rsidR="00D76DD6" w:rsidRPr="00D76DD6" w:rsidTr="00F826A2">
        <w:trPr>
          <w:trHeight w:val="46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76DD6" w:rsidRPr="00D76DD6" w:rsidTr="00F826A2">
        <w:trPr>
          <w:trHeight w:val="390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10 000,0</w:t>
            </w:r>
          </w:p>
        </w:tc>
      </w:tr>
      <w:tr w:rsidR="00D76DD6" w:rsidRPr="00D76DD6" w:rsidTr="00F826A2">
        <w:trPr>
          <w:trHeight w:val="40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24 126,7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24 126,7</w:t>
            </w:r>
          </w:p>
        </w:tc>
      </w:tr>
      <w:tr w:rsidR="00D76DD6" w:rsidRPr="00D76DD6" w:rsidTr="00F826A2">
        <w:trPr>
          <w:trHeight w:val="435"/>
        </w:trPr>
        <w:tc>
          <w:tcPr>
            <w:tcW w:w="223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688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D76DD6" w:rsidRPr="00D76DD6" w:rsidRDefault="00D76DD6" w:rsidP="00D76DD6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76DD6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D76DD6" w:rsidRDefault="00D76DD6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7F1AFB" w:rsidRDefault="007F1AFB" w:rsidP="00BF64CF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7F1AFB" w:rsidRDefault="003561C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к паспорту </w:t>
      </w:r>
    </w:p>
    <w:p w:rsidR="007F1AFB" w:rsidRDefault="007F1AF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Методика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расчета целевых показателей муниципальной программы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3634"/>
        <w:gridCol w:w="1227"/>
        <w:gridCol w:w="9117"/>
      </w:tblGrid>
      <w:tr w:rsidR="007F1AFB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№ </w:t>
            </w:r>
            <w:proofErr w:type="gramStart"/>
            <w:r w:rsidRPr="003561CB">
              <w:rPr>
                <w:rFonts w:ascii="PT Astra Serif" w:hAnsi="PT Astra Serif"/>
                <w:sz w:val="22"/>
                <w:lang w:eastAsia="ru-RU"/>
              </w:rPr>
              <w:t>п</w:t>
            </w:r>
            <w:proofErr w:type="gramEnd"/>
            <w:r w:rsidRPr="003561CB">
              <w:rPr>
                <w:rFonts w:ascii="PT Astra Serif" w:hAnsi="PT Astra Serif"/>
                <w:sz w:val="22"/>
                <w:lang w:eastAsia="ru-RU"/>
              </w:rPr>
              <w:t>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Единица измерения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Метод расчета 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2E92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Количество гражданских инициатив, получивших поддержку из бюджета города Югорска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Югорска от 11.03.2025 №415-п 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организацию и проведение культурно-массовых мероприятий».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Доля молодых людей, </w:t>
            </w:r>
            <w:r w:rsidRPr="00352E92">
              <w:rPr>
                <w:rFonts w:ascii="PT Astra Serif" w:hAnsi="PT Astra Serif"/>
                <w:sz w:val="22"/>
              </w:rPr>
              <w:t>участвующих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проектах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>, направленных на профессиональное, личностное развитие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доступность и уровень вовлеченности молодежи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федеральные и региональные проекты и программы направленные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профессиональное и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национального проекта «Молодежь и дети».</w:t>
            </w:r>
          </w:p>
        </w:tc>
      </w:tr>
      <w:tr w:rsidR="00352E92" w:rsidRPr="003561CB" w:rsidTr="00352E92">
        <w:trPr>
          <w:trHeight w:val="30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рассчитывается исходя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по делам молодежи от 13.12.2024 № 501 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«Об утверждении методики расчета показателя «Доля  молодых  людей, вовлеченных в добровольческую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 общественную деятельность» национального проекта «Молодежь и дети».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по итогам ежегодного опроса об информационной открытости органов местного самоуправления.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jc w:val="both"/>
              <w:rPr>
                <w:rFonts w:ascii="PT Astra Serif" w:hAnsi="PT Astra Serif" w:cs="Arial"/>
                <w:sz w:val="22"/>
              </w:rPr>
            </w:pPr>
            <w:proofErr w:type="gramStart"/>
            <w:r w:rsidRPr="003561CB">
              <w:rPr>
                <w:rFonts w:ascii="PT Astra Serif" w:hAnsi="PT Astra Serif" w:cs="Arial"/>
                <w:sz w:val="22"/>
              </w:rPr>
              <w:t xml:space="preserve">Показатель рассчитывается исходя из фактического количества граждан, принявших участие в </w:t>
            </w:r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</w:t>
            </w:r>
            <w:proofErr w:type="gramEnd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 xml:space="preserve"> том числе через обращения и сообщения на цифровой платформе обратной связи (</w:t>
            </w:r>
            <w:proofErr w:type="gramStart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ПОС</w:t>
            </w:r>
            <w:proofErr w:type="gramEnd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).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исходя из количества заключенных органами местного самоуправления города Югорска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 w:cs="Arial"/>
                <w:sz w:val="22"/>
              </w:rPr>
              <w:t xml:space="preserve">Показатель определяется </w:t>
            </w:r>
            <w:proofErr w:type="gramStart"/>
            <w:r w:rsidRPr="00E115E6">
              <w:rPr>
                <w:rFonts w:ascii="PT Astra Serif" w:hAnsi="PT Astra Serif" w:cs="Arial"/>
                <w:sz w:val="22"/>
              </w:rPr>
              <w:t>в соответствии с заключенными соглашениями о предоставлении субсидии из средств окружного бюджета на реализацию</w:t>
            </w:r>
            <w:proofErr w:type="gramEnd"/>
            <w:r w:rsidRPr="00E115E6">
              <w:rPr>
                <w:rFonts w:ascii="PT Astra Serif" w:hAnsi="PT Astra Serif" w:cs="Arial"/>
                <w:sz w:val="22"/>
              </w:rPr>
              <w:t xml:space="preserve"> инициативных проектов.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, направленных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вовлечения молодых людей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программы и проекты различного уровня, направленные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496 «Об утверждении методики расчета показателя «Доля молодых людей, вовлеченных в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добровольческую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вовлеченных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вовлеченности молодежи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проекты и программы различного уровня, направленные на профессиональное развитие молодых людей.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505 «Об утверждении методики расчета показателя «Доля молодых людей, вовлеченных в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добровольческую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мероприятиями проводимыми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эффективность деятельности инфраструктуры молодежной политики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 делам молодежи от 13.12.2024 № 504 «Об утверждении методики расчета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</w:t>
            </w:r>
            <w:proofErr w:type="gramStart"/>
            <w:r w:rsidRPr="00352E92">
              <w:rPr>
                <w:rFonts w:ascii="PT Astra Serif" w:eastAsia="Calibri" w:hAnsi="PT Astra Serif"/>
                <w:sz w:val="22"/>
              </w:rPr>
              <w:t>мероприятиями</w:t>
            </w:r>
            <w:proofErr w:type="gramEnd"/>
            <w:r w:rsidRPr="00352E92">
              <w:rPr>
                <w:rFonts w:ascii="PT Astra Serif" w:eastAsia="Calibri" w:hAnsi="PT Astra Serif"/>
                <w:sz w:val="22"/>
              </w:rPr>
              <w:t xml:space="preserve"> проводимыми на базе инфраструктуры молодежной </w:t>
            </w:r>
            <w:r w:rsidRPr="00352E92">
              <w:rPr>
                <w:rFonts w:ascii="PT Astra Serif" w:eastAsia="Calibri" w:hAnsi="PT Astra Serif"/>
                <w:sz w:val="22"/>
              </w:rPr>
              <w:lastRenderedPageBreak/>
              <w:t>политики</w:t>
            </w:r>
            <w:r w:rsidRPr="00352E92">
              <w:rPr>
                <w:rFonts w:ascii="PT Astra Serif" w:hAnsi="PT Astra Serif"/>
                <w:sz w:val="22"/>
              </w:rPr>
              <w:t>» национального проекта «Молодежь и дети».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352E92" w:rsidRPr="003561CB" w:rsidTr="00E115E6">
        <w:trPr>
          <w:trHeight w:val="449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семей, в том числе молодых семей имеющих детей,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программы, направленные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патриотическое воспитание, в добровольческую и общественную деятельность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уровень охвата молодых семей проектами </w:t>
            </w:r>
          </w:p>
          <w:p w:rsidR="00352E92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 программами, направленными  </w:t>
            </w:r>
            <w:r w:rsidR="00352E92" w:rsidRPr="00352E92">
              <w:rPr>
                <w:rFonts w:ascii="PT Astra Serif" w:hAnsi="PT Astra Serif"/>
                <w:sz w:val="22"/>
              </w:rPr>
              <w:t>на патриотическое воспитание, а также доступность и уровень за</w:t>
            </w:r>
            <w:r>
              <w:rPr>
                <w:rFonts w:ascii="PT Astra Serif" w:hAnsi="PT Astra Serif"/>
                <w:sz w:val="22"/>
              </w:rPr>
              <w:t xml:space="preserve">интересованности молодых семей  </w:t>
            </w:r>
            <w:r w:rsidR="00352E92" w:rsidRPr="00352E92">
              <w:rPr>
                <w:rFonts w:ascii="PT Astra Serif" w:hAnsi="PT Astra Serif"/>
                <w:sz w:val="22"/>
              </w:rPr>
              <w:t xml:space="preserve">в осуществлении добровольческой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общественной деятельности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</w:t>
            </w:r>
            <w:r w:rsidR="00E115E6">
              <w:rPr>
                <w:rFonts w:ascii="PT Astra Serif" w:eastAsia="Calibri" w:hAnsi="PT Astra Serif"/>
                <w:sz w:val="22"/>
              </w:rPr>
              <w:t xml:space="preserve">оля молодых людей, участвующих  </w:t>
            </w:r>
            <w:r w:rsidRPr="00352E92">
              <w:rPr>
                <w:rFonts w:ascii="PT Astra Serif" w:eastAsia="Calibri" w:hAnsi="PT Astra Serif"/>
                <w:sz w:val="22"/>
              </w:rPr>
              <w:t>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по данным федеральной службы государственной статистики, приказ от 26.02.2025 № 86 «Об утверждении формы федеральн</w:t>
            </w:r>
            <w:r w:rsidR="00E115E6">
              <w:rPr>
                <w:rFonts w:ascii="PT Astra Serif" w:hAnsi="PT Astra Serif"/>
                <w:sz w:val="22"/>
              </w:rPr>
              <w:t xml:space="preserve">ого статистического наблюдения  </w:t>
            </w:r>
            <w:r w:rsidRPr="00352E92">
              <w:rPr>
                <w:rFonts w:ascii="PT Astra Serif" w:hAnsi="PT Astra Serif"/>
                <w:sz w:val="22"/>
              </w:rPr>
              <w:t>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политики».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</w:tbl>
    <w:p w:rsidR="007F1AFB" w:rsidRDefault="007F1AFB" w:rsidP="007F1AFB">
      <w:pPr>
        <w:tabs>
          <w:tab w:val="left" w:pos="1134"/>
        </w:tabs>
        <w:spacing w:line="276" w:lineRule="auto"/>
        <w:jc w:val="both"/>
        <w:rPr>
          <w:rFonts w:ascii="PT Astra Serif" w:eastAsia="Times New Roman" w:hAnsi="PT Astra Serif"/>
          <w:b/>
          <w:sz w:val="22"/>
          <w:lang w:eastAsia="ru-RU"/>
        </w:rPr>
      </w:pPr>
    </w:p>
    <w:sectPr w:rsidR="007F1AFB" w:rsidSect="007F1AFB">
      <w:headerReference w:type="default" r:id="rId13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5C" w:rsidRDefault="00AB625C" w:rsidP="00B2035B">
      <w:r>
        <w:separator/>
      </w:r>
    </w:p>
  </w:endnote>
  <w:endnote w:type="continuationSeparator" w:id="0">
    <w:p w:rsidR="00AB625C" w:rsidRDefault="00AB625C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5C" w:rsidRDefault="00AB625C" w:rsidP="00B2035B">
      <w:r>
        <w:separator/>
      </w:r>
    </w:p>
  </w:footnote>
  <w:footnote w:type="continuationSeparator" w:id="0">
    <w:p w:rsidR="00AB625C" w:rsidRDefault="00AB625C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657881"/>
      <w:docPartObj>
        <w:docPartGallery w:val="Page Numbers (Top of Page)"/>
        <w:docPartUnique/>
      </w:docPartObj>
    </w:sdtPr>
    <w:sdtContent>
      <w:p w:rsidR="00AB625C" w:rsidRDefault="00AB6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CF">
          <w:rPr>
            <w:noProof/>
          </w:rPr>
          <w:t>4</w:t>
        </w:r>
        <w:r>
          <w:fldChar w:fldCharType="end"/>
        </w:r>
      </w:p>
    </w:sdtContent>
  </w:sdt>
  <w:p w:rsidR="00AB625C" w:rsidRDefault="00AB62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Content>
      <w:p w:rsidR="00AB625C" w:rsidRDefault="00AB6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CF">
          <w:rPr>
            <w:noProof/>
          </w:rPr>
          <w:t>15</w:t>
        </w:r>
        <w:r>
          <w:fldChar w:fldCharType="end"/>
        </w:r>
      </w:p>
    </w:sdtContent>
  </w:sdt>
  <w:p w:rsidR="00AB625C" w:rsidRDefault="00AB62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D6F8D"/>
    <w:rsid w:val="000F57F5"/>
    <w:rsid w:val="001941DF"/>
    <w:rsid w:val="001962FD"/>
    <w:rsid w:val="001D25CA"/>
    <w:rsid w:val="001D34E1"/>
    <w:rsid w:val="001D50E9"/>
    <w:rsid w:val="00215866"/>
    <w:rsid w:val="00260B57"/>
    <w:rsid w:val="00264644"/>
    <w:rsid w:val="002651F2"/>
    <w:rsid w:val="002D2B8F"/>
    <w:rsid w:val="00313748"/>
    <w:rsid w:val="00352E92"/>
    <w:rsid w:val="003561CB"/>
    <w:rsid w:val="00373DBD"/>
    <w:rsid w:val="00377F35"/>
    <w:rsid w:val="0038211F"/>
    <w:rsid w:val="003971FF"/>
    <w:rsid w:val="003A5118"/>
    <w:rsid w:val="0044021D"/>
    <w:rsid w:val="004C197F"/>
    <w:rsid w:val="004C6F00"/>
    <w:rsid w:val="004E6A19"/>
    <w:rsid w:val="005227ED"/>
    <w:rsid w:val="00562206"/>
    <w:rsid w:val="0058250C"/>
    <w:rsid w:val="00597444"/>
    <w:rsid w:val="005B2C9F"/>
    <w:rsid w:val="00654E7E"/>
    <w:rsid w:val="006614E8"/>
    <w:rsid w:val="006750C3"/>
    <w:rsid w:val="006806ED"/>
    <w:rsid w:val="006A56D9"/>
    <w:rsid w:val="006C01DE"/>
    <w:rsid w:val="006D343E"/>
    <w:rsid w:val="006D55F5"/>
    <w:rsid w:val="006D58B9"/>
    <w:rsid w:val="006F1BC2"/>
    <w:rsid w:val="00706C20"/>
    <w:rsid w:val="00710A8F"/>
    <w:rsid w:val="00721D57"/>
    <w:rsid w:val="00754EC4"/>
    <w:rsid w:val="007E6DC7"/>
    <w:rsid w:val="007F1AFB"/>
    <w:rsid w:val="007F76F4"/>
    <w:rsid w:val="00825E7A"/>
    <w:rsid w:val="008B7B76"/>
    <w:rsid w:val="008F7A09"/>
    <w:rsid w:val="00907EDD"/>
    <w:rsid w:val="0093739F"/>
    <w:rsid w:val="009679C0"/>
    <w:rsid w:val="009D7AD4"/>
    <w:rsid w:val="009E5D2E"/>
    <w:rsid w:val="00A07690"/>
    <w:rsid w:val="00A0776A"/>
    <w:rsid w:val="00A72AD7"/>
    <w:rsid w:val="00A914DF"/>
    <w:rsid w:val="00AA4B0F"/>
    <w:rsid w:val="00AB625C"/>
    <w:rsid w:val="00AE4A47"/>
    <w:rsid w:val="00B05DF8"/>
    <w:rsid w:val="00B2035B"/>
    <w:rsid w:val="00B86F3B"/>
    <w:rsid w:val="00BF64CF"/>
    <w:rsid w:val="00C17AEC"/>
    <w:rsid w:val="00C31F6A"/>
    <w:rsid w:val="00C32BE8"/>
    <w:rsid w:val="00C42CA7"/>
    <w:rsid w:val="00C778F6"/>
    <w:rsid w:val="00D30C4E"/>
    <w:rsid w:val="00D76DD6"/>
    <w:rsid w:val="00D94230"/>
    <w:rsid w:val="00DB25B7"/>
    <w:rsid w:val="00DB2F0D"/>
    <w:rsid w:val="00DD3288"/>
    <w:rsid w:val="00DF6794"/>
    <w:rsid w:val="00E115E6"/>
    <w:rsid w:val="00E3008C"/>
    <w:rsid w:val="00E30E43"/>
    <w:rsid w:val="00E527FD"/>
    <w:rsid w:val="00EB6A83"/>
    <w:rsid w:val="00EC3A2E"/>
    <w:rsid w:val="00ED1F44"/>
    <w:rsid w:val="00EF77F1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26</Pages>
  <Words>6187</Words>
  <Characters>35268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Губина Элла Алексеевна</cp:lastModifiedBy>
  <cp:revision>54</cp:revision>
  <cp:lastPrinted>2024-12-12T10:10:00Z</cp:lastPrinted>
  <dcterms:created xsi:type="dcterms:W3CDTF">2021-01-12T04:58:00Z</dcterms:created>
  <dcterms:modified xsi:type="dcterms:W3CDTF">2025-12-11T05:27:00Z</dcterms:modified>
</cp:coreProperties>
</file>